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9A" w:rsidRDefault="0095239A" w:rsidP="0095239A">
      <w:pPr>
        <w:rPr>
          <w:rFonts w:ascii="黑体" w:eastAsia="黑体" w:hint="eastAsia"/>
          <w:sz w:val="28"/>
          <w:szCs w:val="28"/>
        </w:rPr>
      </w:pPr>
      <w:r>
        <w:rPr>
          <w:rFonts w:ascii="黑体" w:eastAsia="黑体" w:hint="eastAsia"/>
          <w:sz w:val="28"/>
          <w:szCs w:val="28"/>
        </w:rPr>
        <w:t>附件</w:t>
      </w:r>
    </w:p>
    <w:p w:rsidR="0095239A" w:rsidRDefault="0095239A" w:rsidP="0095239A">
      <w:pPr>
        <w:rPr>
          <w:rFonts w:ascii="黑体" w:eastAsia="黑体" w:hint="eastAsia"/>
          <w:b/>
          <w:bCs/>
          <w:spacing w:val="-6"/>
          <w:sz w:val="28"/>
          <w:szCs w:val="28"/>
        </w:rPr>
      </w:pPr>
    </w:p>
    <w:p w:rsidR="0095239A" w:rsidRDefault="0095239A" w:rsidP="0095239A">
      <w:pPr>
        <w:spacing w:line="600" w:lineRule="exact"/>
        <w:jc w:val="center"/>
        <w:rPr>
          <w:rFonts w:ascii="方正小标宋简体" w:eastAsia="方正小标宋简体" w:hint="eastAsia"/>
          <w:spacing w:val="-6"/>
          <w:sz w:val="44"/>
          <w:szCs w:val="44"/>
        </w:rPr>
      </w:pPr>
      <w:r>
        <w:rPr>
          <w:rFonts w:ascii="方正小标宋简体" w:eastAsia="方正小标宋简体" w:hint="eastAsia"/>
          <w:spacing w:val="-6"/>
          <w:sz w:val="44"/>
          <w:szCs w:val="44"/>
        </w:rPr>
        <w:t>福建省中国特色社会主义理论体系研究中心</w:t>
      </w:r>
    </w:p>
    <w:p w:rsidR="0095239A" w:rsidRDefault="0095239A" w:rsidP="0095239A">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2018年度课题指南</w:t>
      </w:r>
    </w:p>
    <w:p w:rsidR="0095239A" w:rsidRDefault="0095239A" w:rsidP="0095239A">
      <w:pPr>
        <w:rPr>
          <w:rFonts w:ascii="黑体" w:eastAsia="黑体" w:hint="eastAsia"/>
          <w:sz w:val="32"/>
          <w:szCs w:val="32"/>
        </w:rPr>
      </w:pPr>
    </w:p>
    <w:p w:rsidR="0095239A" w:rsidRDefault="0095239A" w:rsidP="0095239A">
      <w:pPr>
        <w:pStyle w:val="a6"/>
        <w:spacing w:before="0" w:beforeAutospacing="0" w:after="0" w:afterAutospacing="0" w:line="360" w:lineRule="auto"/>
        <w:ind w:firstLineChars="200" w:firstLine="691"/>
        <w:jc w:val="both"/>
        <w:rPr>
          <w:rFonts w:ascii="黑体" w:eastAsia="黑体" w:hint="eastAsia"/>
          <w:sz w:val="32"/>
          <w:szCs w:val="32"/>
        </w:rPr>
      </w:pPr>
      <w:r>
        <w:rPr>
          <w:rFonts w:ascii="黑体" w:eastAsia="黑体" w:hint="eastAsia"/>
          <w:sz w:val="32"/>
          <w:szCs w:val="32"/>
        </w:rPr>
        <w:t xml:space="preserve">一、习近平新时代中国特色社会主义思想研究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1.习近平新时代中国特色社会主义思想形成与发展研究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2.习近平新时代中国特色社会主义思想的历史地位和重大意义研究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3.习近平新时代中国特色社会主义思想的科学内涵和精神实质研究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4.习近平新时代进行伟大斗争、建设伟大工程、推进伟大事业、实现伟大梦想的思想研究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5.习近平新时代中国特色社会主义思想对马克思主义的丰富和发展研究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6.习近平新时代中国特色社会主义思想国际意义与世界影响研究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7.习近平新时代中国特色社会主义经济思想研究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8.习近平新时代中国特色社会主义民主政治思想研究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9.习近平新时代中国特色社会主义法治思想研究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10.习近平新时代中国特色社会主义文化思想研究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pacing w:val="-8"/>
          <w:sz w:val="32"/>
          <w:szCs w:val="32"/>
        </w:rPr>
      </w:pPr>
      <w:r>
        <w:rPr>
          <w:rFonts w:ascii="仿宋_GB2312" w:eastAsia="仿宋_GB2312" w:hint="eastAsia"/>
          <w:color w:val="000000"/>
          <w:sz w:val="32"/>
          <w:szCs w:val="32"/>
        </w:rPr>
        <w:t>11.</w:t>
      </w:r>
      <w:r>
        <w:rPr>
          <w:rFonts w:ascii="仿宋_GB2312" w:eastAsia="仿宋_GB2312" w:hint="eastAsia"/>
          <w:color w:val="000000"/>
          <w:spacing w:val="-8"/>
          <w:sz w:val="32"/>
          <w:szCs w:val="32"/>
        </w:rPr>
        <w:t>习近平新时代中国特色社会主义生态文明建设思想研究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12.习近平推动构建人类命运共同体思想研究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13.习近平关于意识形态工作的思想研究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14.习近平关于加强新闻舆论工作的思想研究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15.习近平关于加强高校思政工作的思想研究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16.习近平关于坚持“一国两制”、推进祖国统一的思想研究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17.习近平网络强国战略思想研究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18.习近平新时代强军思想研究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19.习近平乡村振兴战略思想研究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20.党的十九大报告精神和十九大党章研究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21.全面建设社会主义现代化国家的奋斗目标研究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22.新时代全面深化改革研究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23.新时代全面依法治国研究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24.新时代中国特色社会主义文化发展战略研究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25.新时代社会主义核心价值观建设研究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26.新时代党的基本方略研究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27.坚持党对一切工作领导的研究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28.新时代我国社会主要矛盾变化研究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29.中国特色社会主义和中国智慧、中国方案研究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30.中国特色社会主义是改革开放以来党的全部理论和实践的主题的研究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31.《习近平谈治国理政》第一卷和第二卷的内容与意义研究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32.构建中国特色哲学社会科学话语体系研究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33.新时代中国大众传媒的传播力、引导力、公信力研究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34.当前社会思潮传播的新特点和有效引导研究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35.中华优秀传统文化的传承和发展研究 </w:t>
      </w:r>
    </w:p>
    <w:p w:rsidR="0095239A" w:rsidRDefault="0095239A" w:rsidP="0095239A">
      <w:pPr>
        <w:pStyle w:val="a6"/>
        <w:spacing w:before="0" w:beforeAutospacing="0" w:after="0" w:afterAutospacing="0" w:line="360" w:lineRule="auto"/>
        <w:ind w:firstLineChars="200" w:firstLine="691"/>
        <w:jc w:val="both"/>
        <w:rPr>
          <w:rFonts w:ascii="黑体" w:eastAsia="黑体" w:hint="eastAsia"/>
          <w:b/>
          <w:color w:val="000000"/>
          <w:sz w:val="32"/>
          <w:szCs w:val="32"/>
        </w:rPr>
      </w:pPr>
      <w:r>
        <w:rPr>
          <w:rFonts w:ascii="黑体" w:eastAsia="黑体" w:hint="eastAsia"/>
          <w:sz w:val="32"/>
          <w:szCs w:val="32"/>
        </w:rPr>
        <w:t>二、习近平总书记在福建工作期间的探索与实践研究</w:t>
      </w:r>
      <w:r>
        <w:rPr>
          <w:rFonts w:ascii="黑体" w:eastAsia="黑体" w:hint="eastAsia"/>
          <w:b/>
          <w:color w:val="000000"/>
          <w:sz w:val="32"/>
          <w:szCs w:val="32"/>
        </w:rPr>
        <w:t xml:space="preserve">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36.习近平总书记在福建工作期间提出的重要思想和观点研究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37.从牢记政府前面“人民”二字到“以人民为中心”的思想研究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38.从“摆脱贫困”到精准脱贫研究 </w:t>
      </w:r>
      <w:bookmarkStart w:id="0" w:name="_GoBack"/>
      <w:bookmarkEnd w:id="0"/>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39.从“生态福建”到社会主义生态文明观研究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40.从“武平林改”到深化集体林权制度改革研究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pacing w:val="-8"/>
          <w:sz w:val="32"/>
          <w:szCs w:val="32"/>
        </w:rPr>
      </w:pPr>
      <w:r>
        <w:rPr>
          <w:rFonts w:ascii="仿宋_GB2312" w:eastAsia="仿宋_GB2312" w:hint="eastAsia"/>
          <w:color w:val="000000"/>
          <w:sz w:val="32"/>
          <w:szCs w:val="32"/>
        </w:rPr>
        <w:t>41.从“晋江经验”到</w:t>
      </w:r>
      <w:r>
        <w:rPr>
          <w:rFonts w:ascii="仿宋_GB2312" w:eastAsia="仿宋_GB2312" w:hint="eastAsia"/>
          <w:color w:val="000000"/>
          <w:spacing w:val="-8"/>
          <w:sz w:val="32"/>
          <w:szCs w:val="32"/>
        </w:rPr>
        <w:t>走出一条中国特色城市发展道路研究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42.从“文物保护”到文化自信研究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43.从“数字福建”到建设数字中国研究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44.从“松绑放权”到全面深化国企改革研究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45.从“机关效能建设”到服务型政府建设研究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46.从“马上就办”到“狠抓落实”研究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47.从“闽台合作”到对台工作思想研究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48.从“治理餐桌污染”到实施食品安全战略研究</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49.从“廉政建设是共产党人的历史使命”到“全面从严治党永远在路上”研究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sz w:val="32"/>
          <w:szCs w:val="32"/>
        </w:rPr>
        <w:t>50.从“四下基层”、“四个万家”到树立和发扬“三严三实”作风研究</w:t>
      </w:r>
    </w:p>
    <w:p w:rsidR="0095239A" w:rsidRDefault="0095239A" w:rsidP="0095239A">
      <w:pPr>
        <w:pStyle w:val="a6"/>
        <w:spacing w:before="0" w:beforeAutospacing="0" w:after="0" w:afterAutospacing="0" w:line="360" w:lineRule="auto"/>
        <w:ind w:firstLineChars="200" w:firstLine="691"/>
        <w:jc w:val="both"/>
        <w:rPr>
          <w:rFonts w:ascii="黑体" w:eastAsia="黑体" w:hint="eastAsia"/>
          <w:b/>
          <w:color w:val="000000"/>
          <w:sz w:val="32"/>
          <w:szCs w:val="32"/>
        </w:rPr>
      </w:pPr>
      <w:r>
        <w:rPr>
          <w:rFonts w:ascii="黑体" w:eastAsia="黑体" w:hint="eastAsia"/>
          <w:sz w:val="32"/>
          <w:szCs w:val="32"/>
        </w:rPr>
        <w:t>三、福建经济社会发展实践研究</w:t>
      </w:r>
      <w:r>
        <w:rPr>
          <w:rFonts w:ascii="黑体" w:eastAsia="黑体" w:hint="eastAsia"/>
          <w:b/>
          <w:color w:val="000000"/>
          <w:sz w:val="32"/>
          <w:szCs w:val="32"/>
        </w:rPr>
        <w:t xml:space="preserve">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51.全力推进“机制活、产业优、百姓富、生态美”的新福建建设研究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52.加快构建现代化经济体系，实现经济发展高质量研究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53.加快民主法治建设，实现社会治理精细化高效能研究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54.加快建设文化强省，实现精神文明高品位研究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55.加快提升公共服务水平，提升生活幸福指数研究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56.加快建设国家生态文明试验区，实现生态环境高颜值研究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57.改革开放四十年福建经济社会发展成就和经验研究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58.发展更高层次开放型经济研究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59.加快建设21世纪海丝核心区研究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60.加快建设福建自由贸易试验区研究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 xml:space="preserve">61.着力提高福建文化软实力研究 </w:t>
      </w:r>
    </w:p>
    <w:p w:rsidR="0095239A" w:rsidRDefault="0095239A" w:rsidP="0095239A">
      <w:pPr>
        <w:pStyle w:val="a6"/>
        <w:spacing w:before="0" w:beforeAutospacing="0" w:after="0" w:afterAutospacing="0" w:line="360" w:lineRule="auto"/>
        <w:ind w:firstLineChars="200" w:firstLine="691"/>
        <w:jc w:val="both"/>
        <w:rPr>
          <w:rFonts w:ascii="仿宋_GB2312" w:eastAsia="仿宋_GB2312" w:hint="eastAsia"/>
          <w:color w:val="000000"/>
          <w:sz w:val="32"/>
          <w:szCs w:val="32"/>
        </w:rPr>
      </w:pPr>
      <w:r>
        <w:rPr>
          <w:rFonts w:ascii="仿宋_GB2312" w:eastAsia="仿宋_GB2312" w:hint="eastAsia"/>
          <w:color w:val="000000"/>
          <w:sz w:val="32"/>
          <w:szCs w:val="32"/>
        </w:rPr>
        <w:t>62.进一步打响福建文化品牌、延续福建文脉研究</w:t>
      </w:r>
    </w:p>
    <w:p w:rsidR="0095239A" w:rsidRDefault="0095239A" w:rsidP="0095239A">
      <w:pPr>
        <w:rPr>
          <w:rFonts w:ascii="仿宋_GB2312" w:eastAsia="仿宋_GB2312"/>
          <w:sz w:val="30"/>
          <w:szCs w:val="30"/>
        </w:rPr>
      </w:pPr>
    </w:p>
    <w:p w:rsidR="0095239A" w:rsidRDefault="0095239A" w:rsidP="0095239A">
      <w:pPr>
        <w:ind w:firstLineChars="100" w:firstLine="326"/>
        <w:rPr>
          <w:rFonts w:ascii="仿宋_GB2312" w:eastAsia="仿宋_GB2312" w:hint="eastAsia"/>
          <w:sz w:val="30"/>
          <w:szCs w:val="30"/>
        </w:rPr>
      </w:pPr>
    </w:p>
    <w:p w:rsidR="004358AB" w:rsidRDefault="004358AB" w:rsidP="00D31D50">
      <w:pPr>
        <w:spacing w:line="220" w:lineRule="atLeast"/>
      </w:pPr>
    </w:p>
    <w:sectPr w:rsidR="004358AB">
      <w:headerReference w:type="default" r:id="rId6"/>
      <w:footerReference w:type="even" r:id="rId7"/>
      <w:footerReference w:type="default" r:id="rId8"/>
      <w:pgSz w:w="11906" w:h="16838"/>
      <w:pgMar w:top="2041" w:right="1474" w:bottom="1588" w:left="1474" w:header="851" w:footer="1134" w:gutter="0"/>
      <w:cols w:space="720"/>
      <w:docGrid w:type="linesAndChars" w:linePitch="312" w:charSpace="52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2F" w:rsidRPr="00DE360F" w:rsidRDefault="002C562F" w:rsidP="0095239A">
      <w:pPr>
        <w:spacing w:after="0"/>
        <w:rPr>
          <w:sz w:val="24"/>
          <w:lang w:val="en-GB"/>
        </w:rPr>
      </w:pPr>
      <w:r>
        <w:separator/>
      </w:r>
    </w:p>
  </w:endnote>
  <w:endnote w:type="continuationSeparator" w:id="0">
    <w:p w:rsidR="002C562F" w:rsidRPr="00DE360F" w:rsidRDefault="002C562F" w:rsidP="0095239A">
      <w:pPr>
        <w:spacing w:after="0"/>
        <w:rPr>
          <w:sz w:val="24"/>
          <w:lang w:val="en-GB"/>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62F">
    <w:pPr>
      <w:pStyle w:val="a4"/>
      <w:framePr w:wrap="around" w:vAnchor="text" w:hAnchor="margin" w:xAlign="outside" w:y="1"/>
      <w:ind w:firstLineChars="119" w:firstLine="333"/>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sz w:val="28"/>
        <w:szCs w:val="28"/>
        <w:lang w:val="en-US" w:eastAsia="zh-CN"/>
      </w:rPr>
      <w:t>2</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000000" w:rsidRDefault="002C562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62F" w:rsidP="0095239A">
    <w:pPr>
      <w:pStyle w:val="a4"/>
      <w:framePr w:wrap="around" w:vAnchor="text" w:hAnchor="margin" w:xAlign="outside" w:y="1"/>
      <w:ind w:rightChars="142" w:right="312" w:firstLineChars="50" w:firstLine="140"/>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95239A">
      <w:rPr>
        <w:rStyle w:val="a5"/>
        <w:noProof/>
        <w:sz w:val="28"/>
        <w:szCs w:val="28"/>
      </w:rPr>
      <w:t>1</w:t>
    </w:r>
    <w:r>
      <w:rPr>
        <w:rStyle w:val="a5"/>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sz w:val="28"/>
        <w:szCs w:val="28"/>
      </w:rPr>
      <w:t xml:space="preserve">   </w:t>
    </w:r>
  </w:p>
  <w:p w:rsidR="00000000" w:rsidRDefault="002C562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2F" w:rsidRPr="00DE360F" w:rsidRDefault="002C562F" w:rsidP="0095239A">
      <w:pPr>
        <w:spacing w:after="0"/>
        <w:rPr>
          <w:sz w:val="24"/>
          <w:lang w:val="en-GB"/>
        </w:rPr>
      </w:pPr>
      <w:r>
        <w:separator/>
      </w:r>
    </w:p>
  </w:footnote>
  <w:footnote w:type="continuationSeparator" w:id="0">
    <w:p w:rsidR="002C562F" w:rsidRPr="00DE360F" w:rsidRDefault="002C562F" w:rsidP="0095239A">
      <w:pPr>
        <w:spacing w:after="0"/>
        <w:rPr>
          <w:sz w:val="24"/>
          <w:lang w:val="en-GB"/>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62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C562F"/>
    <w:rsid w:val="00323B43"/>
    <w:rsid w:val="003D37D8"/>
    <w:rsid w:val="00426133"/>
    <w:rsid w:val="004358AB"/>
    <w:rsid w:val="008B7726"/>
    <w:rsid w:val="0095239A"/>
    <w:rsid w:val="00CC729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23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5239A"/>
    <w:rPr>
      <w:rFonts w:ascii="Tahoma" w:hAnsi="Tahoma"/>
      <w:sz w:val="18"/>
      <w:szCs w:val="18"/>
    </w:rPr>
  </w:style>
  <w:style w:type="paragraph" w:styleId="a4">
    <w:name w:val="footer"/>
    <w:basedOn w:val="a"/>
    <w:link w:val="Char0"/>
    <w:unhideWhenUsed/>
    <w:rsid w:val="0095239A"/>
    <w:pPr>
      <w:tabs>
        <w:tab w:val="center" w:pos="4153"/>
        <w:tab w:val="right" w:pos="8306"/>
      </w:tabs>
    </w:pPr>
    <w:rPr>
      <w:sz w:val="18"/>
      <w:szCs w:val="18"/>
    </w:rPr>
  </w:style>
  <w:style w:type="character" w:customStyle="1" w:styleId="Char0">
    <w:name w:val="页脚 Char"/>
    <w:basedOn w:val="a0"/>
    <w:link w:val="a4"/>
    <w:uiPriority w:val="99"/>
    <w:semiHidden/>
    <w:rsid w:val="0095239A"/>
    <w:rPr>
      <w:rFonts w:ascii="Tahoma" w:hAnsi="Tahoma"/>
      <w:sz w:val="18"/>
      <w:szCs w:val="18"/>
    </w:rPr>
  </w:style>
  <w:style w:type="character" w:styleId="a5">
    <w:name w:val="page number"/>
    <w:basedOn w:val="a0"/>
    <w:rsid w:val="0095239A"/>
  </w:style>
  <w:style w:type="paragraph" w:styleId="a6">
    <w:name w:val="Normal (Web)"/>
    <w:rsid w:val="0095239A"/>
    <w:pPr>
      <w:spacing w:before="100" w:beforeAutospacing="1" w:after="100" w:afterAutospacing="1" w:line="240" w:lineRule="auto"/>
    </w:pPr>
    <w:rPr>
      <w:rFonts w:ascii="宋体" w:eastAsia="宋体" w:hAnsi="Times New Roman"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2018-05-08T01:38:00Z</dcterms:modified>
</cp:coreProperties>
</file>